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278083D8" w14:textId="77777777" w:rsidR="00F26EC5" w:rsidRPr="00A017A5" w:rsidRDefault="00F26EC5" w:rsidP="001E56AC">
      <w:pPr>
        <w:jc w:val="center"/>
        <w:rPr>
          <w:sz w:val="48"/>
          <w:szCs w:val="48"/>
        </w:rPr>
      </w:pPr>
      <w:r w:rsidRPr="00A017A5">
        <w:rPr>
          <w:sz w:val="48"/>
          <w:szCs w:val="48"/>
        </w:rPr>
        <w:t>Falcon Trace</w:t>
      </w:r>
    </w:p>
    <w:p w14:paraId="1D8F115F" w14:textId="56F24651" w:rsidR="00655185" w:rsidRPr="00A017A5" w:rsidRDefault="00655185" w:rsidP="001E56AC">
      <w:pPr>
        <w:jc w:val="center"/>
        <w:rPr>
          <w:sz w:val="48"/>
          <w:szCs w:val="48"/>
        </w:rPr>
      </w:pPr>
      <w:r w:rsidRPr="00A017A5">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6958B219" w:rsidR="00655185" w:rsidRPr="001E56AC" w:rsidRDefault="0022579F" w:rsidP="001E56AC">
      <w:pPr>
        <w:jc w:val="center"/>
        <w:rPr>
          <w:sz w:val="28"/>
          <w:szCs w:val="28"/>
        </w:rPr>
      </w:pPr>
      <w:r>
        <w:rPr>
          <w:sz w:val="28"/>
          <w:szCs w:val="28"/>
        </w:rPr>
        <w:t>May</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096DAE5E" w:rsidR="00A77C66" w:rsidRDefault="00A77C66" w:rsidP="009D554C">
      <w:pPr>
        <w:jc w:val="center"/>
      </w:pPr>
      <w:r>
        <w:t>By:</w:t>
      </w:r>
      <w:r>
        <w:tab/>
        <w:t>Governme</w:t>
      </w:r>
      <w:r w:rsidR="00C8244D">
        <w:t>ntal Management Services-</w:t>
      </w:r>
      <w:r w:rsidR="00A017A5">
        <w:t>Central</w:t>
      </w:r>
      <w:r>
        <w:t xml:space="preserve"> Florida, LLC</w:t>
      </w:r>
    </w:p>
    <w:p w14:paraId="7CB1C477" w14:textId="77777777" w:rsidR="00332D13" w:rsidRDefault="00332D13" w:rsidP="00332D13">
      <w:pPr>
        <w:jc w:val="center"/>
      </w:pPr>
      <w:r>
        <w:t>219 E. Livingston Street</w:t>
      </w:r>
    </w:p>
    <w:p w14:paraId="668538AD" w14:textId="77777777" w:rsidR="003712EA" w:rsidRDefault="003712EA" w:rsidP="003712EA">
      <w:pPr>
        <w:jc w:val="center"/>
      </w:pPr>
      <w:r>
        <w:t>Orlando, Florida  32801</w:t>
      </w:r>
    </w:p>
    <w:p w14:paraId="355E06C0" w14:textId="1FA48F5B" w:rsidR="00A77C66" w:rsidRDefault="00A77C66" w:rsidP="00A77C66">
      <w:pPr>
        <w:jc w:val="center"/>
      </w:pPr>
    </w:p>
    <w:p w14:paraId="226576FA" w14:textId="77777777" w:rsidR="009D554C" w:rsidRDefault="009D554C" w:rsidP="00A77C66">
      <w:pPr>
        <w:jc w:val="center"/>
      </w:pPr>
    </w:p>
    <w:p w14:paraId="118029F6" w14:textId="513C2924" w:rsidR="00A77C66" w:rsidRDefault="00A77C66" w:rsidP="00A77C66">
      <w:pPr>
        <w:jc w:val="center"/>
      </w:pPr>
      <w:r>
        <w:t>Table o</w:t>
      </w:r>
      <w:r w:rsidR="009C55D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B952A3E" w:rsidR="00A77C66" w:rsidRDefault="00A77C66" w:rsidP="00A77C66">
      <w:pPr>
        <w:pStyle w:val="ListParagraph"/>
        <w:numPr>
          <w:ilvl w:val="0"/>
          <w:numId w:val="5"/>
        </w:numPr>
      </w:pPr>
      <w:r>
        <w:t>Propo</w:t>
      </w:r>
      <w:r w:rsidR="003B2D1C">
        <w:t xml:space="preserve">sed Expansion Over </w:t>
      </w:r>
      <w:r w:rsidR="00A017A5">
        <w:t>t</w:t>
      </w:r>
      <w:r w:rsidR="003B2D1C">
        <w:t xml:space="preserve">he Next </w:t>
      </w:r>
      <w:r w:rsidR="000231E1">
        <w:t>7</w:t>
      </w:r>
      <w:r>
        <w:t xml:space="preserve"> Years</w:t>
      </w:r>
    </w:p>
    <w:p w14:paraId="4A6E1BEC" w14:textId="77777777" w:rsidR="000231E1" w:rsidRDefault="000231E1" w:rsidP="000231E1">
      <w:pPr>
        <w:pStyle w:val="ListParagraph"/>
      </w:pPr>
    </w:p>
    <w:p w14:paraId="0E11B406" w14:textId="77777777" w:rsidR="00A017A5" w:rsidRDefault="00A017A5" w:rsidP="00A017A5">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5DDA0EC6" w:rsidR="00655185" w:rsidRDefault="00F26EC5">
      <w:r>
        <w:t xml:space="preserve">Falcon Trace </w:t>
      </w:r>
      <w:r w:rsidR="00655185">
        <w:t>Community Development District</w:t>
      </w:r>
    </w:p>
    <w:p w14:paraId="1A5EBBF2" w14:textId="26236643" w:rsidR="00655185" w:rsidRDefault="0022579F">
      <w:r>
        <w:t>May</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664B5D85" w:rsidR="00655185" w:rsidRPr="00B3395E" w:rsidRDefault="00A77C66" w:rsidP="001E56AC">
      <w:pPr>
        <w:jc w:val="both"/>
      </w:pPr>
      <w:r w:rsidRPr="00B3395E">
        <w:t xml:space="preserve">This report is provided </w:t>
      </w:r>
      <w:r w:rsidR="009D554C">
        <w:t>for</w:t>
      </w:r>
      <w:r w:rsidR="009D5625">
        <w:t xml:space="preserve"> </w:t>
      </w:r>
      <w:r w:rsidR="00F26EC5">
        <w:t>Falcon Trace 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w:t>
      </w:r>
      <w:r w:rsidR="0073675E" w:rsidRPr="00D67DA1">
        <w:t>10</w:t>
      </w:r>
      <w:r w:rsidR="0073675E">
        <w:t xml:space="preserve">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775B4D53" w:rsidR="00655185" w:rsidRPr="00244D8E" w:rsidRDefault="009D5625" w:rsidP="00244D8E">
      <w:pPr>
        <w:jc w:val="both"/>
      </w:pPr>
      <w:r>
        <w:t xml:space="preserve">The District is </w:t>
      </w:r>
      <w:r w:rsidR="00F26EC5">
        <w:t>currently comprised of approximately 361 acres located entirely within Orange County, Florida.  The District was established on April 8,1998, by Orange County Ordinance 98-10, as amended by Ordinance 98-30, both of which were adopted by the Orange County Board of County Commissioners.  The District owns, operates and maintains recreational facilities and Big Hawk Lake.  The lands within the District are included within the Southchase Development of Regional Impact.  The District is comprised of 902 single family residential homes and common areas (sidewalks, recreational facilities, etc.).</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3E3B8E59" w14:textId="3FFCED92" w:rsidR="000231E1" w:rsidRDefault="00EA23A4" w:rsidP="003A1BAF">
      <w:pPr>
        <w:ind w:left="1440"/>
        <w:jc w:val="both"/>
        <w:rPr>
          <w:bCs/>
          <w:i/>
          <w:iCs/>
        </w:rPr>
      </w:pPr>
      <w:r w:rsidRPr="00D67DA1">
        <w:rPr>
          <w:bCs/>
          <w:i/>
          <w:iCs/>
        </w:rPr>
        <w:t xml:space="preserve">The District owns and operates </w:t>
      </w:r>
      <w:r w:rsidR="00A017A5" w:rsidRPr="00D67DA1">
        <w:rPr>
          <w:bCs/>
          <w:i/>
          <w:iCs/>
        </w:rPr>
        <w:t>the Recreational Facilities which consists of a Clubhouse which is approximately 2,400 sq. ft, swimming pool, picnic facilities, playground equipment,</w:t>
      </w:r>
      <w:r w:rsidRPr="00D67DA1">
        <w:rPr>
          <w:bCs/>
          <w:i/>
          <w:iCs/>
        </w:rPr>
        <w:t xml:space="preserve"> </w:t>
      </w:r>
      <w:r w:rsidR="00D67DA1" w:rsidRPr="00D67DA1">
        <w:rPr>
          <w:bCs/>
          <w:i/>
          <w:iCs/>
        </w:rPr>
        <w:t>sports amenities including basketball and tennis facilities, a boat ramp and fishing dock and parking areas.  The District also owns, operates and maintains the Big Hawk Lake which is approximately 68 acres.</w:t>
      </w:r>
    </w:p>
    <w:p w14:paraId="726AB6A3" w14:textId="42E32D0C" w:rsidR="009D554C" w:rsidRDefault="009D554C" w:rsidP="009D554C">
      <w:pPr>
        <w:pStyle w:val="ListParagraph"/>
        <w:numPr>
          <w:ilvl w:val="0"/>
          <w:numId w:val="6"/>
        </w:numPr>
        <w:rPr>
          <w:b/>
        </w:rPr>
      </w:pPr>
      <w:r>
        <w:rPr>
          <w:b/>
        </w:rPr>
        <w:t>Current Capacity of Facility</w:t>
      </w:r>
    </w:p>
    <w:p w14:paraId="20440293" w14:textId="6DA1D93D" w:rsidR="000231E1" w:rsidRPr="000231E1" w:rsidRDefault="000231E1" w:rsidP="000231E1">
      <w:pPr>
        <w:pStyle w:val="ListParagraph"/>
        <w:ind w:left="1440"/>
        <w:rPr>
          <w:bCs/>
          <w:i/>
          <w:iCs/>
        </w:rPr>
      </w:pPr>
      <w:r w:rsidRPr="000D694C">
        <w:rPr>
          <w:bCs/>
          <w:i/>
          <w:iCs/>
        </w:rPr>
        <w:t>-</w:t>
      </w:r>
      <w:r w:rsidR="007B2E45">
        <w:rPr>
          <w:bCs/>
          <w:i/>
          <w:iCs/>
        </w:rPr>
        <w:t xml:space="preserve"> </w:t>
      </w:r>
      <w:r w:rsidR="00981D28">
        <w:rPr>
          <w:bCs/>
          <w:i/>
          <w:iCs/>
        </w:rPr>
        <w:t>132 people</w:t>
      </w:r>
      <w:bookmarkStart w:id="0" w:name="_GoBack"/>
      <w:bookmarkEnd w:id="0"/>
    </w:p>
    <w:p w14:paraId="11FFA9D6" w14:textId="526F83D7" w:rsidR="009D554C" w:rsidRDefault="009D554C" w:rsidP="009D554C">
      <w:pPr>
        <w:pStyle w:val="ListParagraph"/>
        <w:numPr>
          <w:ilvl w:val="0"/>
          <w:numId w:val="6"/>
        </w:numPr>
        <w:rPr>
          <w:b/>
        </w:rPr>
      </w:pPr>
      <w:r>
        <w:rPr>
          <w:b/>
        </w:rPr>
        <w:t>Current demands placed on it</w:t>
      </w:r>
    </w:p>
    <w:p w14:paraId="1B21BF20" w14:textId="195120E6" w:rsidR="000231E1" w:rsidRPr="003A1BAF" w:rsidRDefault="000231E1" w:rsidP="000231E1">
      <w:pPr>
        <w:pStyle w:val="ListParagraph"/>
        <w:ind w:left="1440"/>
        <w:rPr>
          <w:bCs/>
          <w:i/>
          <w:iCs/>
        </w:rPr>
      </w:pPr>
      <w:r w:rsidRPr="000D694C">
        <w:rPr>
          <w:bCs/>
          <w:i/>
          <w:iCs/>
        </w:rPr>
        <w:t>-</w:t>
      </w:r>
      <w:r w:rsidR="000D694C" w:rsidRPr="000D694C">
        <w:rPr>
          <w:bCs/>
          <w:i/>
          <w:iCs/>
        </w:rPr>
        <w:t xml:space="preserve"> </w:t>
      </w:r>
      <w:r w:rsidR="00EA3A40">
        <w:rPr>
          <w:bCs/>
          <w:i/>
          <w:iCs/>
        </w:rPr>
        <w:t>Varies from day to day.</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55CDC05D" w:rsidR="000231E1" w:rsidRPr="000231E1" w:rsidRDefault="00A017A5" w:rsidP="00A017A5">
      <w:pPr>
        <w:pStyle w:val="ListParagraph"/>
        <w:ind w:left="1440"/>
        <w:jc w:val="both"/>
        <w:rPr>
          <w:bCs/>
        </w:rPr>
      </w:pPr>
      <w:r>
        <w:rPr>
          <w:bCs/>
        </w:rPr>
        <w:t>The Development is an approximately 361-gross acre master planned community located on U.S. Highway 441 in the southern portion of the County.  The entrance to the Development is directly south of an entrance to the Greenway Expressway (SR 417), which connects all major freeways in the Orlando Metropolitan area.  The Development is located approximately 6 miles from Orlando International Airport, approximately 8 miles from downtown Orlando, and approximately 6 miles from the Disney World theme parks.</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1DB9AB78" w14:textId="7439C0C3" w:rsidR="00B1403C" w:rsidRDefault="000231E1">
      <w:r>
        <w:t>-</w:t>
      </w:r>
      <w:r w:rsidR="00244D8E">
        <w:t>There are currently no plans to replace the District’s public facilities.</w:t>
      </w:r>
    </w:p>
    <w:p w14:paraId="045D4162" w14:textId="08A20E2B" w:rsidR="00B1403C" w:rsidRDefault="00B1403C"/>
    <w:p w14:paraId="4C0638A0" w14:textId="25B72406" w:rsidR="00B1403C" w:rsidRDefault="00B1403C"/>
    <w:p w14:paraId="7DEDC21B" w14:textId="253C9466" w:rsidR="00B1403C" w:rsidRDefault="00B1403C"/>
    <w:p w14:paraId="2015DA02" w14:textId="0159471D" w:rsidR="00B1403C" w:rsidRDefault="00B1403C"/>
    <w:p w14:paraId="5909C27B" w14:textId="6676C332" w:rsidR="00B1403C" w:rsidRDefault="00B1403C"/>
    <w:p w14:paraId="752B4AA6" w14:textId="18DBBB51" w:rsidR="00B1403C" w:rsidRDefault="00B1403C"/>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A2E0" w14:textId="77777777" w:rsidR="00456A77" w:rsidRDefault="00456A77" w:rsidP="00655185">
      <w:r>
        <w:separator/>
      </w:r>
    </w:p>
  </w:endnote>
  <w:endnote w:type="continuationSeparator" w:id="0">
    <w:p w14:paraId="4CE0AEAD" w14:textId="77777777" w:rsidR="00456A77" w:rsidRDefault="00456A77"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72FE" w14:textId="77777777" w:rsidR="00456A77" w:rsidRDefault="00456A77" w:rsidP="00655185">
      <w:r>
        <w:separator/>
      </w:r>
    </w:p>
  </w:footnote>
  <w:footnote w:type="continuationSeparator" w:id="0">
    <w:p w14:paraId="3E96DBC9" w14:textId="77777777" w:rsidR="00456A77" w:rsidRDefault="00456A77"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4C28"/>
    <w:rsid w:val="000D694C"/>
    <w:rsid w:val="00111905"/>
    <w:rsid w:val="0014269C"/>
    <w:rsid w:val="00163425"/>
    <w:rsid w:val="00193989"/>
    <w:rsid w:val="00197C06"/>
    <w:rsid w:val="001D41DC"/>
    <w:rsid w:val="001E56AC"/>
    <w:rsid w:val="001E740D"/>
    <w:rsid w:val="00214C43"/>
    <w:rsid w:val="0022579F"/>
    <w:rsid w:val="00244D8E"/>
    <w:rsid w:val="002535B1"/>
    <w:rsid w:val="002C10A7"/>
    <w:rsid w:val="00326AD9"/>
    <w:rsid w:val="00332D13"/>
    <w:rsid w:val="003712EA"/>
    <w:rsid w:val="003A1BAF"/>
    <w:rsid w:val="003B005D"/>
    <w:rsid w:val="003B2D1C"/>
    <w:rsid w:val="00421B5A"/>
    <w:rsid w:val="00456A77"/>
    <w:rsid w:val="004C0E01"/>
    <w:rsid w:val="004E58BA"/>
    <w:rsid w:val="005154C3"/>
    <w:rsid w:val="005733A3"/>
    <w:rsid w:val="005C5BFE"/>
    <w:rsid w:val="005F3950"/>
    <w:rsid w:val="00623F97"/>
    <w:rsid w:val="00645867"/>
    <w:rsid w:val="00655185"/>
    <w:rsid w:val="0073675E"/>
    <w:rsid w:val="007729EF"/>
    <w:rsid w:val="00781AFB"/>
    <w:rsid w:val="007B2E45"/>
    <w:rsid w:val="00850A74"/>
    <w:rsid w:val="0093165D"/>
    <w:rsid w:val="00981D28"/>
    <w:rsid w:val="009C55D0"/>
    <w:rsid w:val="009D554C"/>
    <w:rsid w:val="009D5625"/>
    <w:rsid w:val="009E0BE7"/>
    <w:rsid w:val="009E3D8C"/>
    <w:rsid w:val="00A017A5"/>
    <w:rsid w:val="00A316CB"/>
    <w:rsid w:val="00A77C66"/>
    <w:rsid w:val="00A90B10"/>
    <w:rsid w:val="00B1403C"/>
    <w:rsid w:val="00B3395E"/>
    <w:rsid w:val="00B4155C"/>
    <w:rsid w:val="00B611C4"/>
    <w:rsid w:val="00B87DEE"/>
    <w:rsid w:val="00C8244D"/>
    <w:rsid w:val="00CA7051"/>
    <w:rsid w:val="00CB07C7"/>
    <w:rsid w:val="00CB221D"/>
    <w:rsid w:val="00D67DA1"/>
    <w:rsid w:val="00DC7D4E"/>
    <w:rsid w:val="00E14B35"/>
    <w:rsid w:val="00E5225D"/>
    <w:rsid w:val="00E70539"/>
    <w:rsid w:val="00E7131D"/>
    <w:rsid w:val="00EA23A4"/>
    <w:rsid w:val="00EA3A40"/>
    <w:rsid w:val="00EF51CC"/>
    <w:rsid w:val="00F26E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Cesar Gms</cp:lastModifiedBy>
  <cp:revision>3</cp:revision>
  <cp:lastPrinted>2019-05-23T14:13:00Z</cp:lastPrinted>
  <dcterms:created xsi:type="dcterms:W3CDTF">2019-11-24T18:31:00Z</dcterms:created>
  <dcterms:modified xsi:type="dcterms:W3CDTF">2019-11-25T14:38:00Z</dcterms:modified>
</cp:coreProperties>
</file>